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94823" w14:textId="77777777" w:rsidR="00114F81" w:rsidRDefault="00114F81">
      <w:pPr>
        <w:pStyle w:val="Sansinterligne"/>
        <w:jc w:val="both"/>
        <w:rPr>
          <w:sz w:val="24"/>
        </w:rPr>
      </w:pPr>
    </w:p>
    <w:p w14:paraId="354BC62F" w14:textId="08772F96" w:rsidR="008008C1" w:rsidRDefault="006A5E37">
      <w:pPr>
        <w:pStyle w:val="Sansinterligne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Annexe </w:t>
      </w:r>
      <w:r w:rsidR="00BE0AF6">
        <w:rPr>
          <w:b/>
          <w:sz w:val="28"/>
          <w:u w:val="single"/>
        </w:rPr>
        <w:t>5</w:t>
      </w:r>
    </w:p>
    <w:p w14:paraId="63BDE968" w14:textId="58CB5968" w:rsidR="00114F81" w:rsidRDefault="008008C1" w:rsidP="008008C1">
      <w:pPr>
        <w:pStyle w:val="Sansinterligne"/>
        <w:jc w:val="center"/>
      </w:pPr>
      <w:r>
        <w:rPr>
          <w:b/>
          <w:sz w:val="28"/>
          <w:u w:val="single"/>
        </w:rPr>
        <w:t xml:space="preserve">Annexe </w:t>
      </w:r>
      <w:r w:rsidR="006A5E37">
        <w:rPr>
          <w:b/>
          <w:sz w:val="28"/>
          <w:u w:val="single"/>
        </w:rPr>
        <w:t>financière</w:t>
      </w:r>
      <w:r>
        <w:rPr>
          <w:b/>
          <w:sz w:val="28"/>
          <w:u w:val="single"/>
        </w:rPr>
        <w:t> : d</w:t>
      </w:r>
      <w:r w:rsidR="006A5E37">
        <w:rPr>
          <w:b/>
          <w:sz w:val="28"/>
          <w:u w:val="single"/>
        </w:rPr>
        <w:t>roits d’inscription, mécénats et marque Médailles</w:t>
      </w:r>
    </w:p>
    <w:p w14:paraId="07B01DEA" w14:textId="77777777" w:rsidR="00114F81" w:rsidRDefault="00114F81">
      <w:pPr>
        <w:pStyle w:val="Sansinterligne"/>
        <w:jc w:val="center"/>
        <w:rPr>
          <w:b/>
          <w:sz w:val="28"/>
          <w:u w:val="single"/>
        </w:rPr>
      </w:pPr>
    </w:p>
    <w:p w14:paraId="0A785967" w14:textId="77777777" w:rsidR="00114F81" w:rsidRDefault="006A5E37">
      <w:pPr>
        <w:pStyle w:val="Sansinterligne"/>
        <w:jc w:val="both"/>
      </w:pPr>
      <w:r>
        <w:rPr>
          <w:b/>
          <w:sz w:val="24"/>
        </w:rPr>
        <w:t>I</w:t>
      </w:r>
      <w:r>
        <w:rPr>
          <w:sz w:val="24"/>
        </w:rPr>
        <w:t xml:space="preserve">] </w:t>
      </w:r>
      <w:r>
        <w:rPr>
          <w:b/>
          <w:sz w:val="24"/>
          <w:u w:val="single"/>
        </w:rPr>
        <w:t>Recettes issues des droits d’inscription</w:t>
      </w:r>
    </w:p>
    <w:p w14:paraId="460A6B28" w14:textId="77777777" w:rsidR="00114F81" w:rsidRDefault="00114F81">
      <w:pPr>
        <w:pStyle w:val="Sansinterligne"/>
        <w:jc w:val="both"/>
        <w:rPr>
          <w:b/>
          <w:sz w:val="24"/>
          <w:u w:val="single"/>
        </w:rPr>
      </w:pPr>
    </w:p>
    <w:p w14:paraId="18BDB3DA" w14:textId="5433844B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>Les recettes issues des droits d’inscription au concours vins sont d’environ 1,2 millions d’euros et celles issues des droits d’inscription au concours produits sont d’environ 8</w:t>
      </w:r>
      <w:r w:rsidR="00304DD2">
        <w:rPr>
          <w:sz w:val="24"/>
        </w:rPr>
        <w:t>4</w:t>
      </w:r>
      <w:r>
        <w:rPr>
          <w:sz w:val="24"/>
        </w:rPr>
        <w:t>0 000 euros, soit environ 2</w:t>
      </w:r>
      <w:r w:rsidR="00304DD2">
        <w:rPr>
          <w:sz w:val="24"/>
        </w:rPr>
        <w:t>,4</w:t>
      </w:r>
      <w:r>
        <w:rPr>
          <w:sz w:val="24"/>
        </w:rPr>
        <w:t xml:space="preserve"> millions d’euros pour les concours produits et vins. </w:t>
      </w:r>
    </w:p>
    <w:p w14:paraId="3728635E" w14:textId="09B95AD3" w:rsidR="00DF51C7" w:rsidRDefault="00DF51C7">
      <w:pPr>
        <w:pStyle w:val="Sansinterligne"/>
        <w:jc w:val="both"/>
        <w:rPr>
          <w:sz w:val="24"/>
        </w:rPr>
      </w:pPr>
    </w:p>
    <w:p w14:paraId="26DE0B06" w14:textId="22C7E799" w:rsidR="00DF51C7" w:rsidRDefault="00DF51C7">
      <w:pPr>
        <w:pStyle w:val="Sansinterligne"/>
        <w:jc w:val="both"/>
        <w:rPr>
          <w:sz w:val="24"/>
        </w:rPr>
      </w:pPr>
      <w:r>
        <w:rPr>
          <w:sz w:val="24"/>
        </w:rPr>
        <w:t xml:space="preserve">Sur les 3 dernières éditions du CGA, les recettes </w:t>
      </w:r>
      <w:r w:rsidR="007863B1">
        <w:rPr>
          <w:sz w:val="24"/>
        </w:rPr>
        <w:t xml:space="preserve">HT </w:t>
      </w:r>
      <w:r>
        <w:rPr>
          <w:sz w:val="24"/>
        </w:rPr>
        <w:t xml:space="preserve">ont été les suivantes : </w:t>
      </w:r>
    </w:p>
    <w:p w14:paraId="7B02997A" w14:textId="76636417" w:rsidR="00DF51C7" w:rsidRDefault="00DF51C7">
      <w:pPr>
        <w:pStyle w:val="Sansinterligne"/>
        <w:jc w:val="both"/>
        <w:rPr>
          <w:sz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F51C7" w14:paraId="467C46A7" w14:textId="77777777" w:rsidTr="009538F7">
        <w:trPr>
          <w:jc w:val="center"/>
        </w:trPr>
        <w:tc>
          <w:tcPr>
            <w:tcW w:w="2265" w:type="dxa"/>
            <w:vAlign w:val="center"/>
          </w:tcPr>
          <w:p w14:paraId="2BB51954" w14:textId="7D322FBA" w:rsidR="00DF51C7" w:rsidRPr="009538F7" w:rsidRDefault="00DF51C7" w:rsidP="009538F7">
            <w:pPr>
              <w:pStyle w:val="Sansinterligne"/>
              <w:jc w:val="center"/>
              <w:rPr>
                <w:b/>
              </w:rPr>
            </w:pPr>
            <w:r w:rsidRPr="009538F7">
              <w:rPr>
                <w:b/>
              </w:rPr>
              <w:t>Concours</w:t>
            </w:r>
          </w:p>
        </w:tc>
        <w:tc>
          <w:tcPr>
            <w:tcW w:w="2265" w:type="dxa"/>
            <w:vAlign w:val="center"/>
          </w:tcPr>
          <w:p w14:paraId="5D997C96" w14:textId="57671952" w:rsidR="00DF51C7" w:rsidRPr="009538F7" w:rsidRDefault="00DF51C7" w:rsidP="009538F7">
            <w:pPr>
              <w:pStyle w:val="Sansinterligne"/>
              <w:jc w:val="center"/>
              <w:rPr>
                <w:b/>
              </w:rPr>
            </w:pPr>
            <w:r w:rsidRPr="009538F7">
              <w:rPr>
                <w:b/>
              </w:rPr>
              <w:t>202</w:t>
            </w:r>
            <w:r w:rsidR="00602EED">
              <w:rPr>
                <w:b/>
              </w:rPr>
              <w:t>3</w:t>
            </w:r>
          </w:p>
        </w:tc>
        <w:tc>
          <w:tcPr>
            <w:tcW w:w="2266" w:type="dxa"/>
            <w:vAlign w:val="center"/>
          </w:tcPr>
          <w:p w14:paraId="644D74DC" w14:textId="29434418" w:rsidR="00DF51C7" w:rsidRPr="009538F7" w:rsidRDefault="00DF51C7" w:rsidP="009538F7">
            <w:pPr>
              <w:pStyle w:val="Sansinterligne"/>
              <w:jc w:val="center"/>
              <w:rPr>
                <w:b/>
              </w:rPr>
            </w:pPr>
            <w:r w:rsidRPr="009538F7">
              <w:rPr>
                <w:b/>
              </w:rPr>
              <w:t>202</w:t>
            </w:r>
            <w:r w:rsidR="00602EED">
              <w:rPr>
                <w:b/>
              </w:rPr>
              <w:t>4</w:t>
            </w:r>
          </w:p>
        </w:tc>
        <w:tc>
          <w:tcPr>
            <w:tcW w:w="2266" w:type="dxa"/>
            <w:vAlign w:val="center"/>
          </w:tcPr>
          <w:p w14:paraId="0A890B1E" w14:textId="14981660" w:rsidR="00DF51C7" w:rsidRPr="009538F7" w:rsidRDefault="00DF6239" w:rsidP="009538F7">
            <w:pPr>
              <w:pStyle w:val="Sansinterligne"/>
              <w:jc w:val="center"/>
              <w:rPr>
                <w:b/>
              </w:rPr>
            </w:pPr>
            <w:r w:rsidRPr="009538F7">
              <w:rPr>
                <w:b/>
              </w:rPr>
              <w:t>2</w:t>
            </w:r>
            <w:r>
              <w:rPr>
                <w:b/>
              </w:rPr>
              <w:t>02</w:t>
            </w:r>
            <w:r w:rsidR="00602EED">
              <w:rPr>
                <w:b/>
              </w:rPr>
              <w:t>5</w:t>
            </w:r>
          </w:p>
        </w:tc>
      </w:tr>
      <w:tr w:rsidR="00DF51C7" w14:paraId="134A6450" w14:textId="77777777" w:rsidTr="009538F7">
        <w:trPr>
          <w:jc w:val="center"/>
        </w:trPr>
        <w:tc>
          <w:tcPr>
            <w:tcW w:w="2265" w:type="dxa"/>
            <w:vAlign w:val="center"/>
          </w:tcPr>
          <w:p w14:paraId="28AF5CD2" w14:textId="182EDE46" w:rsidR="00DF51C7" w:rsidRPr="009538F7" w:rsidRDefault="00DF51C7" w:rsidP="009538F7">
            <w:pPr>
              <w:pStyle w:val="Sansinterligne"/>
              <w:jc w:val="center"/>
              <w:rPr>
                <w:b/>
              </w:rPr>
            </w:pPr>
            <w:r w:rsidRPr="009538F7">
              <w:rPr>
                <w:b/>
              </w:rPr>
              <w:t>Vins</w:t>
            </w:r>
          </w:p>
        </w:tc>
        <w:tc>
          <w:tcPr>
            <w:tcW w:w="2265" w:type="dxa"/>
            <w:vAlign w:val="center"/>
          </w:tcPr>
          <w:p w14:paraId="6A88AA32" w14:textId="299F298F" w:rsidR="00DF51C7" w:rsidRPr="009538F7" w:rsidRDefault="00A04E3C" w:rsidP="00A04E3C">
            <w:pPr>
              <w:pStyle w:val="Sansinterligne"/>
              <w:jc w:val="center"/>
            </w:pPr>
            <w:r>
              <w:t>1 </w:t>
            </w:r>
            <w:r w:rsidR="00602EED">
              <w:t>210</w:t>
            </w:r>
            <w:r w:rsidR="00DF6239">
              <w:t> </w:t>
            </w:r>
            <w:r>
              <w:t>000 €</w:t>
            </w:r>
          </w:p>
        </w:tc>
        <w:tc>
          <w:tcPr>
            <w:tcW w:w="2266" w:type="dxa"/>
            <w:vAlign w:val="center"/>
          </w:tcPr>
          <w:p w14:paraId="17F62C10" w14:textId="5A0A0DC4" w:rsidR="00DF51C7" w:rsidRDefault="00A04E3C" w:rsidP="00A04E3C">
            <w:pPr>
              <w:pStyle w:val="Sansinterligne"/>
              <w:jc w:val="center"/>
            </w:pPr>
            <w:r>
              <w:t>1 </w:t>
            </w:r>
            <w:r w:rsidR="00DF6239">
              <w:t>2</w:t>
            </w:r>
            <w:r w:rsidR="00602EED">
              <w:t>7</w:t>
            </w:r>
            <w:r w:rsidR="00DF6239">
              <w:t>0 </w:t>
            </w:r>
            <w:r>
              <w:t>000 €</w:t>
            </w:r>
          </w:p>
        </w:tc>
        <w:tc>
          <w:tcPr>
            <w:tcW w:w="2266" w:type="dxa"/>
            <w:vAlign w:val="center"/>
          </w:tcPr>
          <w:p w14:paraId="5A052ADE" w14:textId="1872379A" w:rsidR="00DF51C7" w:rsidRDefault="00A04E3C" w:rsidP="00A04E3C">
            <w:pPr>
              <w:pStyle w:val="Sansinterligne"/>
              <w:jc w:val="center"/>
            </w:pPr>
            <w:r>
              <w:t>1 </w:t>
            </w:r>
            <w:r w:rsidR="00602EED">
              <w:t>220</w:t>
            </w:r>
            <w:r>
              <w:t> 000 €</w:t>
            </w:r>
          </w:p>
        </w:tc>
      </w:tr>
      <w:tr w:rsidR="00DF51C7" w14:paraId="166868F5" w14:textId="77777777" w:rsidTr="009538F7">
        <w:trPr>
          <w:jc w:val="center"/>
        </w:trPr>
        <w:tc>
          <w:tcPr>
            <w:tcW w:w="2265" w:type="dxa"/>
            <w:vAlign w:val="center"/>
          </w:tcPr>
          <w:p w14:paraId="27F7067D" w14:textId="7AE13099" w:rsidR="00DF51C7" w:rsidRPr="009538F7" w:rsidRDefault="00DF51C7" w:rsidP="009538F7">
            <w:pPr>
              <w:pStyle w:val="Sansinterligne"/>
              <w:jc w:val="center"/>
              <w:rPr>
                <w:b/>
              </w:rPr>
            </w:pPr>
            <w:r w:rsidRPr="009538F7">
              <w:rPr>
                <w:b/>
              </w:rPr>
              <w:t>Produits</w:t>
            </w:r>
          </w:p>
        </w:tc>
        <w:tc>
          <w:tcPr>
            <w:tcW w:w="2265" w:type="dxa"/>
            <w:vAlign w:val="center"/>
          </w:tcPr>
          <w:p w14:paraId="4AC0B071" w14:textId="6C98C806" w:rsidR="00DF51C7" w:rsidRDefault="00602EED" w:rsidP="009538F7">
            <w:pPr>
              <w:pStyle w:val="Sansinterligne"/>
              <w:jc w:val="center"/>
            </w:pPr>
            <w:r>
              <w:t>820</w:t>
            </w:r>
            <w:r w:rsidR="00DF51C7">
              <w:t> 000 €</w:t>
            </w:r>
          </w:p>
        </w:tc>
        <w:tc>
          <w:tcPr>
            <w:tcW w:w="2266" w:type="dxa"/>
            <w:vAlign w:val="center"/>
          </w:tcPr>
          <w:p w14:paraId="5D3DC062" w14:textId="3C3E89D0" w:rsidR="00DF51C7" w:rsidRDefault="00DF6239" w:rsidP="009538F7">
            <w:pPr>
              <w:pStyle w:val="Sansinterligne"/>
              <w:jc w:val="center"/>
            </w:pPr>
            <w:r>
              <w:t>8</w:t>
            </w:r>
            <w:r w:rsidR="00602EED">
              <w:t>52</w:t>
            </w:r>
            <w:r>
              <w:t> </w:t>
            </w:r>
            <w:r w:rsidR="00DF51C7">
              <w:t>000 €</w:t>
            </w:r>
          </w:p>
        </w:tc>
        <w:tc>
          <w:tcPr>
            <w:tcW w:w="2266" w:type="dxa"/>
            <w:vAlign w:val="center"/>
          </w:tcPr>
          <w:p w14:paraId="250A4792" w14:textId="4639BF50" w:rsidR="00DF51C7" w:rsidRDefault="00DF51C7" w:rsidP="009538F7">
            <w:pPr>
              <w:pStyle w:val="Sansinterligne"/>
              <w:jc w:val="center"/>
            </w:pPr>
            <w:r>
              <w:t>8</w:t>
            </w:r>
            <w:r w:rsidR="00602EED">
              <w:t>78</w:t>
            </w:r>
            <w:r>
              <w:t> 000€</w:t>
            </w:r>
          </w:p>
        </w:tc>
      </w:tr>
    </w:tbl>
    <w:p w14:paraId="5E03C5CF" w14:textId="77777777" w:rsidR="00DF51C7" w:rsidRDefault="00DF51C7" w:rsidP="009538F7">
      <w:pPr>
        <w:pStyle w:val="Sansinterligne"/>
        <w:jc w:val="center"/>
      </w:pPr>
    </w:p>
    <w:p w14:paraId="40A96F43" w14:textId="77777777" w:rsidR="00114F81" w:rsidRDefault="00114F81">
      <w:pPr>
        <w:pStyle w:val="Sansinterligne"/>
        <w:jc w:val="both"/>
        <w:rPr>
          <w:sz w:val="24"/>
        </w:rPr>
      </w:pPr>
    </w:p>
    <w:p w14:paraId="3F1E389A" w14:textId="77777777" w:rsidR="00114F81" w:rsidRDefault="006A5E37">
      <w:pPr>
        <w:pStyle w:val="Sansinterligne"/>
        <w:jc w:val="both"/>
      </w:pPr>
      <w:r>
        <w:rPr>
          <w:b/>
          <w:sz w:val="24"/>
        </w:rPr>
        <w:t xml:space="preserve">II] </w:t>
      </w:r>
      <w:r>
        <w:rPr>
          <w:b/>
          <w:sz w:val="24"/>
          <w:u w:val="single"/>
        </w:rPr>
        <w:t>Recettes issues des mécénats</w:t>
      </w:r>
    </w:p>
    <w:p w14:paraId="056E4EEE" w14:textId="0A76C193" w:rsidR="00114F81" w:rsidRDefault="00114F81">
      <w:pPr>
        <w:pStyle w:val="Sansinterligne"/>
        <w:jc w:val="both"/>
        <w:rPr>
          <w:sz w:val="24"/>
        </w:rPr>
      </w:pPr>
    </w:p>
    <w:p w14:paraId="73D6B1E9" w14:textId="23D0FE42" w:rsidR="00114F81" w:rsidRDefault="00FE35AC">
      <w:pPr>
        <w:pStyle w:val="Sansinterligne"/>
        <w:jc w:val="both"/>
      </w:pPr>
      <w:r>
        <w:rPr>
          <w:sz w:val="24"/>
        </w:rPr>
        <w:t>Pour les dernières éditions du CGA, l</w:t>
      </w:r>
      <w:r w:rsidR="006A5E37">
        <w:rPr>
          <w:sz w:val="24"/>
        </w:rPr>
        <w:t xml:space="preserve">es mécénats </w:t>
      </w:r>
      <w:r>
        <w:rPr>
          <w:sz w:val="24"/>
        </w:rPr>
        <w:t xml:space="preserve">ont financé </w:t>
      </w:r>
      <w:r w:rsidR="006A5E37">
        <w:rPr>
          <w:sz w:val="24"/>
        </w:rPr>
        <w:t xml:space="preserve">les concours jeunes professionnels et les concours pratiques agro-écologiques à hauteur d’environ 60 000 euros. </w:t>
      </w:r>
    </w:p>
    <w:p w14:paraId="0E74335B" w14:textId="77777777" w:rsidR="00114F81" w:rsidRDefault="00114F81">
      <w:pPr>
        <w:pStyle w:val="Sansinterligne"/>
        <w:jc w:val="center"/>
        <w:rPr>
          <w:b/>
          <w:sz w:val="28"/>
          <w:u w:val="single"/>
        </w:rPr>
      </w:pPr>
    </w:p>
    <w:p w14:paraId="1AE2D957" w14:textId="4EA71127" w:rsidR="00114F81" w:rsidRDefault="006A5E37">
      <w:pPr>
        <w:pStyle w:val="Sansinterligne"/>
        <w:jc w:val="both"/>
        <w:rPr>
          <w:sz w:val="24"/>
          <w:u w:val="single"/>
        </w:rPr>
      </w:pPr>
      <w:r>
        <w:rPr>
          <w:b/>
          <w:sz w:val="24"/>
        </w:rPr>
        <w:t xml:space="preserve">III] </w:t>
      </w:r>
      <w:r w:rsidRPr="008D18B6">
        <w:rPr>
          <w:b/>
          <w:sz w:val="24"/>
          <w:u w:val="single"/>
        </w:rPr>
        <w:t>Redevance de la Marque Médailles</w:t>
      </w:r>
    </w:p>
    <w:p w14:paraId="64E80BEB" w14:textId="38BD0A78" w:rsidR="00114F81" w:rsidRDefault="00114F81">
      <w:pPr>
        <w:pStyle w:val="Sansinterligne"/>
        <w:jc w:val="both"/>
        <w:rPr>
          <w:sz w:val="24"/>
          <w:u w:val="single"/>
        </w:rPr>
      </w:pPr>
    </w:p>
    <w:p w14:paraId="351E2DE2" w14:textId="77777777" w:rsidR="00114F81" w:rsidRDefault="006A5E37">
      <w:pPr>
        <w:pStyle w:val="Sansinterligne"/>
        <w:jc w:val="both"/>
      </w:pPr>
      <w:r>
        <w:rPr>
          <w:sz w:val="24"/>
          <w:u w:val="single"/>
        </w:rPr>
        <w:t>Redevance issue des médaillons</w:t>
      </w:r>
    </w:p>
    <w:p w14:paraId="61D30613" w14:textId="77777777" w:rsidR="00114F81" w:rsidRDefault="00114F81">
      <w:pPr>
        <w:pStyle w:val="Sansinterligne"/>
        <w:jc w:val="both"/>
        <w:rPr>
          <w:sz w:val="24"/>
        </w:rPr>
      </w:pPr>
    </w:p>
    <w:p w14:paraId="779CF1F9" w14:textId="77777777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 xml:space="preserve">La marque peut prendre la forme d’un médaillon autocollant ou être intégrée directement dans l’étiquette du produit ou vin. </w:t>
      </w:r>
    </w:p>
    <w:p w14:paraId="5AFBCCF3" w14:textId="77777777" w:rsidR="00114F81" w:rsidRDefault="00114F81">
      <w:pPr>
        <w:pStyle w:val="Sansinterligne"/>
        <w:jc w:val="both"/>
        <w:rPr>
          <w:sz w:val="24"/>
        </w:rPr>
      </w:pPr>
    </w:p>
    <w:p w14:paraId="08F26AE9" w14:textId="306D363B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 xml:space="preserve">Toute reproduction de la marque Médailles est soumise au paiement d’une redevance destinée à la promotion des produits et des vins médaillés et à l’organisation générale du CGA (cf. article </w:t>
      </w:r>
      <w:r w:rsidR="008E70F5">
        <w:rPr>
          <w:sz w:val="24"/>
        </w:rPr>
        <w:t>46</w:t>
      </w:r>
      <w:r>
        <w:rPr>
          <w:sz w:val="24"/>
        </w:rPr>
        <w:t xml:space="preserve"> du règlement de l’édition </w:t>
      </w:r>
      <w:r w:rsidR="004E0394">
        <w:rPr>
          <w:sz w:val="24"/>
        </w:rPr>
        <w:t>202</w:t>
      </w:r>
      <w:r w:rsidR="00602EED">
        <w:rPr>
          <w:sz w:val="24"/>
        </w:rPr>
        <w:t>5</w:t>
      </w:r>
      <w:r>
        <w:rPr>
          <w:sz w:val="24"/>
        </w:rPr>
        <w:t xml:space="preserve"> du CGA)</w:t>
      </w:r>
    </w:p>
    <w:p w14:paraId="56FC1DF2" w14:textId="68C64AED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>Le niveau de redevance est fixé annuellement par l</w:t>
      </w:r>
      <w:r w:rsidR="00FE35AC">
        <w:rPr>
          <w:sz w:val="24"/>
        </w:rPr>
        <w:t>’autorité concédante</w:t>
      </w:r>
      <w:r w:rsidR="00EE1DEF">
        <w:rPr>
          <w:sz w:val="24"/>
        </w:rPr>
        <w:t xml:space="preserve"> </w:t>
      </w:r>
      <w:r>
        <w:rPr>
          <w:sz w:val="24"/>
        </w:rPr>
        <w:t xml:space="preserve">(cf. article </w:t>
      </w:r>
      <w:r w:rsidR="008E70F5">
        <w:rPr>
          <w:sz w:val="24"/>
        </w:rPr>
        <w:t>44</w:t>
      </w:r>
      <w:r>
        <w:rPr>
          <w:sz w:val="24"/>
        </w:rPr>
        <w:t xml:space="preserve"> du règlement de l’édition </w:t>
      </w:r>
      <w:r w:rsidR="004E0394">
        <w:rPr>
          <w:sz w:val="24"/>
        </w:rPr>
        <w:t>202</w:t>
      </w:r>
      <w:r w:rsidR="00602EED">
        <w:rPr>
          <w:sz w:val="24"/>
        </w:rPr>
        <w:t>5</w:t>
      </w:r>
      <w:r>
        <w:rPr>
          <w:sz w:val="24"/>
        </w:rPr>
        <w:t xml:space="preserve"> du CGA) </w:t>
      </w:r>
    </w:p>
    <w:p w14:paraId="2115BAB0" w14:textId="77777777" w:rsidR="00114F81" w:rsidRDefault="00114F81">
      <w:pPr>
        <w:pStyle w:val="Sansinterligne"/>
        <w:jc w:val="both"/>
        <w:rPr>
          <w:sz w:val="24"/>
        </w:rPr>
      </w:pPr>
    </w:p>
    <w:p w14:paraId="59A7A962" w14:textId="38FBF865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 xml:space="preserve">Les recettes issues des redevances </w:t>
      </w:r>
      <w:r w:rsidR="00FE35AC">
        <w:rPr>
          <w:sz w:val="24"/>
        </w:rPr>
        <w:t xml:space="preserve">ont été </w:t>
      </w:r>
      <w:r>
        <w:rPr>
          <w:sz w:val="24"/>
        </w:rPr>
        <w:t>les suivantes</w:t>
      </w:r>
      <w:r w:rsidR="00FE35AC">
        <w:rPr>
          <w:sz w:val="24"/>
        </w:rPr>
        <w:t xml:space="preserve">, pour les </w:t>
      </w:r>
      <w:r w:rsidR="00DF2427">
        <w:rPr>
          <w:sz w:val="24"/>
        </w:rPr>
        <w:t>quatre</w:t>
      </w:r>
      <w:r w:rsidR="00FE35AC">
        <w:rPr>
          <w:sz w:val="24"/>
        </w:rPr>
        <w:t xml:space="preserve"> précédentes éditions du CGA</w:t>
      </w:r>
      <w:r>
        <w:rPr>
          <w:sz w:val="24"/>
        </w:rPr>
        <w:t xml:space="preserve"> : </w:t>
      </w:r>
    </w:p>
    <w:p w14:paraId="1019FE54" w14:textId="77777777" w:rsidR="00114F81" w:rsidRDefault="006A5E37">
      <w:pPr>
        <w:pStyle w:val="Sansinterligne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En 2020 : 2 528 000 € (année classique)</w:t>
      </w:r>
    </w:p>
    <w:p w14:paraId="503E9B4E" w14:textId="77777777" w:rsidR="00114F81" w:rsidRDefault="006A5E37">
      <w:pPr>
        <w:pStyle w:val="Sansinterligne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En 2021 : 1 889 000 € (Covid)</w:t>
      </w:r>
    </w:p>
    <w:p w14:paraId="0CD8E16C" w14:textId="6B46B1DB" w:rsidR="00114F81" w:rsidRDefault="006A5E37">
      <w:pPr>
        <w:pStyle w:val="Sansinterligne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En 2022 : 2 050 000 € (redémarrage après Covid)</w:t>
      </w:r>
    </w:p>
    <w:p w14:paraId="12221BFE" w14:textId="14F6961F" w:rsidR="00DF2427" w:rsidRDefault="00B918C5">
      <w:pPr>
        <w:pStyle w:val="Sansinterligne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En 2023</w:t>
      </w:r>
      <w:r w:rsidR="00DF2427">
        <w:rPr>
          <w:sz w:val="24"/>
        </w:rPr>
        <w:t> : 2 426 000 €</w:t>
      </w:r>
    </w:p>
    <w:p w14:paraId="4D6F3FA6" w14:textId="321167FF" w:rsidR="00602EED" w:rsidRDefault="00602EED">
      <w:pPr>
        <w:pStyle w:val="Sansinterligne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En 2024 : 2 887 000 €</w:t>
      </w:r>
    </w:p>
    <w:p w14:paraId="774C96CA" w14:textId="77777777" w:rsidR="00114F81" w:rsidRDefault="00114F81">
      <w:pPr>
        <w:pStyle w:val="Sansinterligne"/>
        <w:jc w:val="both"/>
        <w:rPr>
          <w:sz w:val="24"/>
        </w:rPr>
      </w:pPr>
    </w:p>
    <w:p w14:paraId="5041CA2E" w14:textId="502470DF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>Sur les dix derniers années « classiques », les recettes s</w:t>
      </w:r>
      <w:r w:rsidR="00FE35AC">
        <w:rPr>
          <w:sz w:val="24"/>
        </w:rPr>
        <w:t xml:space="preserve">e sont élevées, </w:t>
      </w:r>
      <w:r>
        <w:rPr>
          <w:sz w:val="24"/>
        </w:rPr>
        <w:t>en moyenne</w:t>
      </w:r>
      <w:r w:rsidR="00FE35AC">
        <w:rPr>
          <w:sz w:val="24"/>
        </w:rPr>
        <w:t>,</w:t>
      </w:r>
      <w:r>
        <w:rPr>
          <w:sz w:val="24"/>
        </w:rPr>
        <w:t xml:space="preserve"> à 2 500 000 €.</w:t>
      </w:r>
    </w:p>
    <w:p w14:paraId="06F617DD" w14:textId="227A0BC4" w:rsidR="00114F81" w:rsidRDefault="00114F81">
      <w:pPr>
        <w:pStyle w:val="Sansinterligne"/>
        <w:jc w:val="both"/>
        <w:rPr>
          <w:sz w:val="24"/>
        </w:rPr>
      </w:pPr>
    </w:p>
    <w:p w14:paraId="3F2232F3" w14:textId="14445697" w:rsidR="008D18B6" w:rsidRDefault="008D18B6">
      <w:pPr>
        <w:pStyle w:val="Sansinterligne"/>
        <w:jc w:val="both"/>
        <w:rPr>
          <w:sz w:val="24"/>
        </w:rPr>
      </w:pPr>
      <w:r>
        <w:rPr>
          <w:sz w:val="24"/>
        </w:rPr>
        <w:lastRenderedPageBreak/>
        <w:t xml:space="preserve">Environ 40% des </w:t>
      </w:r>
      <w:r w:rsidR="00551A40">
        <w:rPr>
          <w:sz w:val="24"/>
        </w:rPr>
        <w:t xml:space="preserve">recettes issues des </w:t>
      </w:r>
      <w:r>
        <w:rPr>
          <w:sz w:val="24"/>
        </w:rPr>
        <w:t xml:space="preserve">redevances </w:t>
      </w:r>
      <w:r w:rsidR="000A3B42">
        <w:rPr>
          <w:sz w:val="24"/>
        </w:rPr>
        <w:t>ont servi, lors des dernières éditions du CGA,</w:t>
      </w:r>
      <w:r>
        <w:rPr>
          <w:sz w:val="24"/>
        </w:rPr>
        <w:t xml:space="preserve"> à financer l’achat du papier holographique et les imprimeurs de médaillons. </w:t>
      </w:r>
    </w:p>
    <w:p w14:paraId="25295B47" w14:textId="77777777" w:rsidR="008D18B6" w:rsidRDefault="008D18B6">
      <w:pPr>
        <w:pStyle w:val="Sansinterligne"/>
        <w:jc w:val="both"/>
        <w:rPr>
          <w:sz w:val="24"/>
        </w:rPr>
      </w:pPr>
    </w:p>
    <w:p w14:paraId="29FE21E6" w14:textId="35751E32" w:rsidR="00114F81" w:rsidRDefault="006A5E37">
      <w:pPr>
        <w:pStyle w:val="Sansinterligne"/>
        <w:jc w:val="both"/>
      </w:pPr>
      <w:r>
        <w:rPr>
          <w:sz w:val="24"/>
          <w:u w:val="single"/>
        </w:rPr>
        <w:t>Recettes issues du restaurant des médaillés (chiffre d’affaires et redevance)</w:t>
      </w:r>
      <w:r>
        <w:rPr>
          <w:sz w:val="24"/>
        </w:rPr>
        <w:t xml:space="preserve"> </w:t>
      </w:r>
    </w:p>
    <w:p w14:paraId="15673944" w14:textId="77777777" w:rsidR="00114F81" w:rsidRDefault="00114F81">
      <w:pPr>
        <w:pStyle w:val="Sansinterligne"/>
        <w:jc w:val="both"/>
        <w:rPr>
          <w:sz w:val="24"/>
        </w:rPr>
      </w:pPr>
    </w:p>
    <w:p w14:paraId="340CAED6" w14:textId="77777777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 xml:space="preserve">Le restaurant des médaillés propose des plats confectionnés avec les produits médaillés. </w:t>
      </w:r>
    </w:p>
    <w:p w14:paraId="659C0601" w14:textId="77777777" w:rsidR="00114F81" w:rsidRDefault="00114F81">
      <w:pPr>
        <w:pStyle w:val="Sansinterligne"/>
        <w:jc w:val="both"/>
        <w:rPr>
          <w:sz w:val="24"/>
        </w:rPr>
      </w:pPr>
    </w:p>
    <w:p w14:paraId="2D9F5265" w14:textId="268DCF6A" w:rsidR="00114F81" w:rsidRDefault="000A3B42">
      <w:pPr>
        <w:pStyle w:val="Sansinterligne"/>
        <w:jc w:val="both"/>
      </w:pPr>
      <w:r>
        <w:rPr>
          <w:sz w:val="24"/>
        </w:rPr>
        <w:t>Lors des dernières éditions du CGA, u</w:t>
      </w:r>
      <w:r w:rsidR="006A5E37">
        <w:rPr>
          <w:sz w:val="24"/>
        </w:rPr>
        <w:t xml:space="preserve">n prestataire </w:t>
      </w:r>
      <w:r>
        <w:rPr>
          <w:sz w:val="24"/>
        </w:rPr>
        <w:t xml:space="preserve">était </w:t>
      </w:r>
      <w:r w:rsidR="006A5E37">
        <w:rPr>
          <w:sz w:val="24"/>
        </w:rPr>
        <w:t xml:space="preserve">sélectionné par appel d’offre </w:t>
      </w:r>
      <w:r w:rsidR="006D7FA8">
        <w:rPr>
          <w:sz w:val="24"/>
        </w:rPr>
        <w:t>par le concessionnaire retenu pour la concession de service public et soumis à la validation de l’autorité concédante, conformément au contrat de concession</w:t>
      </w:r>
      <w:r w:rsidR="006A5E37">
        <w:rPr>
          <w:sz w:val="24"/>
        </w:rPr>
        <w:t xml:space="preserve"> afin de proposer une offre de restauration assise et à emporter visant à assurer la promotion d’une image conviviale et accessible des produits médaillés sur le SIA. L’espace ainsi que certains matériels et la décoration </w:t>
      </w:r>
      <w:r>
        <w:rPr>
          <w:sz w:val="24"/>
        </w:rPr>
        <w:t xml:space="preserve">étaient </w:t>
      </w:r>
      <w:r w:rsidR="006A5E37">
        <w:rPr>
          <w:sz w:val="24"/>
        </w:rPr>
        <w:t xml:space="preserve">mis à la disposition du prestataire qui, en revanche, </w:t>
      </w:r>
      <w:r>
        <w:rPr>
          <w:sz w:val="24"/>
        </w:rPr>
        <w:t xml:space="preserve">prenait </w:t>
      </w:r>
      <w:r w:rsidR="006A5E37">
        <w:rPr>
          <w:sz w:val="24"/>
        </w:rPr>
        <w:t xml:space="preserve">à sa charge l’installation de la salle et le mobilier. </w:t>
      </w:r>
    </w:p>
    <w:p w14:paraId="5428B419" w14:textId="77777777" w:rsidR="00114F81" w:rsidRDefault="00114F81">
      <w:pPr>
        <w:pStyle w:val="Sansinterligne"/>
        <w:jc w:val="both"/>
        <w:rPr>
          <w:sz w:val="24"/>
        </w:rPr>
      </w:pPr>
    </w:p>
    <w:p w14:paraId="43D44588" w14:textId="5ADA9D15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 xml:space="preserve">Sur les </w:t>
      </w:r>
      <w:r w:rsidR="00065E35">
        <w:rPr>
          <w:sz w:val="24"/>
        </w:rPr>
        <w:t>trois</w:t>
      </w:r>
      <w:r>
        <w:rPr>
          <w:sz w:val="24"/>
        </w:rPr>
        <w:t xml:space="preserve"> dernières années, le chiffre d’affaires (encaissé par le prestataire) et les redevances (versées au CGA) étaient de : </w:t>
      </w:r>
    </w:p>
    <w:p w14:paraId="417C437B" w14:textId="45C941FA" w:rsidR="00114F81" w:rsidRDefault="006A5E37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2022 : 180 000 € de chiffre d’affaire</w:t>
      </w:r>
      <w:r w:rsidR="00ED6A45">
        <w:rPr>
          <w:sz w:val="24"/>
        </w:rPr>
        <w:t>s</w:t>
      </w:r>
      <w:r>
        <w:rPr>
          <w:sz w:val="24"/>
        </w:rPr>
        <w:t xml:space="preserve"> et 25 000€ de redevance (sous forme de forfait)</w:t>
      </w:r>
    </w:p>
    <w:p w14:paraId="57358DB0" w14:textId="3EEC3EF6" w:rsidR="00114F81" w:rsidRDefault="006A5E37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2023 : 200 290 € de chiffre d’affaire</w:t>
      </w:r>
      <w:r w:rsidR="00ED6A45">
        <w:rPr>
          <w:sz w:val="24"/>
        </w:rPr>
        <w:t>s</w:t>
      </w:r>
      <w:r>
        <w:rPr>
          <w:sz w:val="24"/>
        </w:rPr>
        <w:t xml:space="preserve"> et 30 000€ de redevance (sous forme de pourcentage du chiffre d’affaires)</w:t>
      </w:r>
    </w:p>
    <w:p w14:paraId="5B8CA629" w14:textId="01962A56" w:rsidR="00065E35" w:rsidRDefault="00065E35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2024 : 17</w:t>
      </w:r>
      <w:r w:rsidR="00ED6A45">
        <w:rPr>
          <w:sz w:val="24"/>
        </w:rPr>
        <w:t>0</w:t>
      </w:r>
      <w:r>
        <w:rPr>
          <w:sz w:val="24"/>
        </w:rPr>
        <w:t> 000 € de chiffre d’affaire</w:t>
      </w:r>
      <w:r w:rsidR="00ED6A45">
        <w:rPr>
          <w:sz w:val="24"/>
        </w:rPr>
        <w:t>s</w:t>
      </w:r>
      <w:r>
        <w:rPr>
          <w:sz w:val="24"/>
        </w:rPr>
        <w:t xml:space="preserve"> et 30 600 € de redevance</w:t>
      </w:r>
      <w:r w:rsidR="00ED6A45">
        <w:rPr>
          <w:sz w:val="24"/>
        </w:rPr>
        <w:t xml:space="preserve"> (sous forme de pourcentage de 18% du chiffre d’affaires)</w:t>
      </w:r>
      <w:r>
        <w:rPr>
          <w:sz w:val="24"/>
        </w:rPr>
        <w:t>.</w:t>
      </w:r>
    </w:p>
    <w:p w14:paraId="5D7FEF9D" w14:textId="1A35499B" w:rsidR="00602EED" w:rsidRDefault="00602EED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2025 : </w:t>
      </w:r>
      <w:r w:rsidR="00C22914">
        <w:rPr>
          <w:sz w:val="24"/>
        </w:rPr>
        <w:t>180 000 € de chiffre d’affaires et 35 000 € de redevance (sous forme de forfait).</w:t>
      </w:r>
    </w:p>
    <w:p w14:paraId="3C898822" w14:textId="77777777" w:rsidR="00114F81" w:rsidRDefault="00114F81">
      <w:pPr>
        <w:pStyle w:val="Sansinterligne"/>
        <w:jc w:val="both"/>
        <w:rPr>
          <w:sz w:val="24"/>
        </w:rPr>
      </w:pPr>
    </w:p>
    <w:p w14:paraId="0338491C" w14:textId="77777777" w:rsidR="00114F81" w:rsidRDefault="006A5E37">
      <w:pPr>
        <w:pStyle w:val="Sansinterligne"/>
        <w:jc w:val="both"/>
        <w:rPr>
          <w:sz w:val="24"/>
          <w:u w:val="single"/>
        </w:rPr>
      </w:pPr>
      <w:r>
        <w:rPr>
          <w:sz w:val="24"/>
          <w:u w:val="single"/>
        </w:rPr>
        <w:t>Recettes issues du foodtruck des produits médaillés</w:t>
      </w:r>
    </w:p>
    <w:p w14:paraId="215978F6" w14:textId="77777777" w:rsidR="00114F81" w:rsidRDefault="00114F81">
      <w:pPr>
        <w:pStyle w:val="Sansinterligne"/>
        <w:jc w:val="both"/>
        <w:rPr>
          <w:sz w:val="24"/>
        </w:rPr>
      </w:pPr>
    </w:p>
    <w:p w14:paraId="00823B48" w14:textId="77777777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 xml:space="preserve">Le foodtruck des produits médaillés propose des produits de vente à emporter à base de produits médaillés sur différents événements, dont le SIA. </w:t>
      </w:r>
    </w:p>
    <w:p w14:paraId="1F28EF55" w14:textId="77777777" w:rsidR="00114F81" w:rsidRDefault="00114F81">
      <w:pPr>
        <w:pStyle w:val="Sansinterligne"/>
        <w:jc w:val="both"/>
        <w:rPr>
          <w:sz w:val="24"/>
        </w:rPr>
      </w:pPr>
    </w:p>
    <w:p w14:paraId="00724FDF" w14:textId="6D4726FD" w:rsidR="00114F81" w:rsidRDefault="000A3B42">
      <w:pPr>
        <w:pStyle w:val="Sansinterligne"/>
        <w:jc w:val="both"/>
      </w:pPr>
      <w:r>
        <w:rPr>
          <w:sz w:val="24"/>
        </w:rPr>
        <w:t>Lors des dernières éditions du CGA, u</w:t>
      </w:r>
      <w:r w:rsidR="006A5E37">
        <w:rPr>
          <w:sz w:val="24"/>
        </w:rPr>
        <w:t xml:space="preserve">n prestataire </w:t>
      </w:r>
      <w:r>
        <w:rPr>
          <w:sz w:val="24"/>
        </w:rPr>
        <w:t xml:space="preserve">était </w:t>
      </w:r>
      <w:r w:rsidR="006A5E37">
        <w:rPr>
          <w:sz w:val="24"/>
        </w:rPr>
        <w:t xml:space="preserve">sélectionné par appel d'offre par le </w:t>
      </w:r>
      <w:r>
        <w:rPr>
          <w:sz w:val="24"/>
        </w:rPr>
        <w:t>MASA</w:t>
      </w:r>
      <w:r w:rsidR="006A5E37">
        <w:rPr>
          <w:sz w:val="24"/>
        </w:rPr>
        <w:t xml:space="preserve">. </w:t>
      </w:r>
    </w:p>
    <w:p w14:paraId="3C6EE1A3" w14:textId="77777777" w:rsidR="00114F81" w:rsidRDefault="00114F81">
      <w:pPr>
        <w:pStyle w:val="Sansinterligne"/>
        <w:jc w:val="both"/>
        <w:rPr>
          <w:sz w:val="24"/>
        </w:rPr>
      </w:pPr>
    </w:p>
    <w:p w14:paraId="04D2EE38" w14:textId="295ADFC3" w:rsidR="00114F81" w:rsidRDefault="006A5E37">
      <w:pPr>
        <w:pStyle w:val="Sansinterligne"/>
        <w:jc w:val="both"/>
        <w:rPr>
          <w:sz w:val="24"/>
        </w:rPr>
      </w:pPr>
      <w:r>
        <w:rPr>
          <w:sz w:val="24"/>
        </w:rPr>
        <w:t xml:space="preserve">Sur les </w:t>
      </w:r>
      <w:r w:rsidR="00690CF4">
        <w:rPr>
          <w:sz w:val="24"/>
        </w:rPr>
        <w:t>trois</w:t>
      </w:r>
      <w:r>
        <w:rPr>
          <w:sz w:val="24"/>
        </w:rPr>
        <w:t xml:space="preserve"> dernières années, le chiffre d’affaires (encaissé par le prestataire) et les redevances (versées au </w:t>
      </w:r>
      <w:r w:rsidR="00284E62">
        <w:rPr>
          <w:sz w:val="24"/>
        </w:rPr>
        <w:t>CGA</w:t>
      </w:r>
      <w:r>
        <w:rPr>
          <w:sz w:val="24"/>
        </w:rPr>
        <w:t>) étaient de :</w:t>
      </w:r>
    </w:p>
    <w:p w14:paraId="2B097FF6" w14:textId="77777777" w:rsidR="00114F81" w:rsidRDefault="006A5E37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2022 : 45 995 € de chiffre d’affaires et 4 000€ de redevances (sous forme de forfait) </w:t>
      </w:r>
    </w:p>
    <w:p w14:paraId="267EBAE3" w14:textId="31D4AD0C" w:rsidR="00114F81" w:rsidRDefault="006A5E37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2023 : 53 791 € de chiffre d’affaires et 4 000€ de redevance (sous forme de forfait)</w:t>
      </w:r>
    </w:p>
    <w:p w14:paraId="6CEB4356" w14:textId="2EF97052" w:rsidR="00690CF4" w:rsidRDefault="00690CF4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2024 : 51 300 € de chiffre d’affaires et 5 130 € de redevance (sous forme de pourcentage de 10% du chiffre d’affaires).</w:t>
      </w:r>
    </w:p>
    <w:p w14:paraId="14831431" w14:textId="59738ABF" w:rsidR="00602EED" w:rsidRDefault="00602EED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2025 : </w:t>
      </w:r>
      <w:r w:rsidR="00C22914">
        <w:rPr>
          <w:sz w:val="24"/>
        </w:rPr>
        <w:t>44 768 € de chiffre d’affaire</w:t>
      </w:r>
      <w:r w:rsidR="00304DD2">
        <w:rPr>
          <w:sz w:val="24"/>
        </w:rPr>
        <w:t>s</w:t>
      </w:r>
      <w:r w:rsidR="00C22914">
        <w:rPr>
          <w:sz w:val="24"/>
        </w:rPr>
        <w:t xml:space="preserve"> et 5 000 € de redevance (sous forme de forfait)</w:t>
      </w:r>
    </w:p>
    <w:p w14:paraId="66D46AFB" w14:textId="77777777" w:rsidR="00114F81" w:rsidRDefault="00114F81">
      <w:pPr>
        <w:pStyle w:val="Sansinterligne"/>
        <w:jc w:val="both"/>
        <w:rPr>
          <w:sz w:val="24"/>
        </w:rPr>
      </w:pPr>
    </w:p>
    <w:p w14:paraId="7E191B30" w14:textId="77777777" w:rsidR="00114F81" w:rsidRDefault="00114F81">
      <w:pPr>
        <w:pStyle w:val="Sansinterligne"/>
        <w:jc w:val="both"/>
        <w:rPr>
          <w:sz w:val="24"/>
        </w:rPr>
      </w:pPr>
    </w:p>
    <w:p w14:paraId="2434F1E2" w14:textId="77777777" w:rsidR="00114F81" w:rsidRDefault="00114F81"/>
    <w:sectPr w:rsidR="00114F81">
      <w:footerReference w:type="default" r:id="rId8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480A6" w14:textId="77777777" w:rsidR="005321AF" w:rsidRDefault="005321AF">
      <w:pPr>
        <w:spacing w:after="0" w:line="240" w:lineRule="auto"/>
      </w:pPr>
      <w:r>
        <w:separator/>
      </w:r>
    </w:p>
  </w:endnote>
  <w:endnote w:type="continuationSeparator" w:id="0">
    <w:p w14:paraId="7C682991" w14:textId="77777777" w:rsidR="005321AF" w:rsidRDefault="0053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5194724"/>
      <w:docPartObj>
        <w:docPartGallery w:val="Page Numbers (Bottom of Page)"/>
        <w:docPartUnique/>
      </w:docPartObj>
    </w:sdtPr>
    <w:sdtEndPr/>
    <w:sdtContent>
      <w:p w14:paraId="7494CF0A" w14:textId="45C2178F" w:rsidR="00114F81" w:rsidRDefault="006A5E37">
        <w:pPr>
          <w:pStyle w:val="Pieddepag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1354">
          <w:rPr>
            <w:noProof/>
          </w:rPr>
          <w:t>2</w:t>
        </w:r>
        <w:r>
          <w:fldChar w:fldCharType="end"/>
        </w:r>
      </w:p>
    </w:sdtContent>
  </w:sdt>
  <w:p w14:paraId="0BD79FA8" w14:textId="77777777" w:rsidR="00114F81" w:rsidRDefault="00114F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937AB" w14:textId="77777777" w:rsidR="005321AF" w:rsidRDefault="005321AF">
      <w:pPr>
        <w:spacing w:after="0" w:line="240" w:lineRule="auto"/>
      </w:pPr>
      <w:r>
        <w:separator/>
      </w:r>
    </w:p>
  </w:footnote>
  <w:footnote w:type="continuationSeparator" w:id="0">
    <w:p w14:paraId="1311A26A" w14:textId="77777777" w:rsidR="005321AF" w:rsidRDefault="00532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660A1"/>
    <w:multiLevelType w:val="multilevel"/>
    <w:tmpl w:val="A9DE2020"/>
    <w:lvl w:ilvl="0">
      <w:start w:val="2022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2467CF0"/>
    <w:multiLevelType w:val="multilevel"/>
    <w:tmpl w:val="C464AAA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AD27C0"/>
    <w:multiLevelType w:val="multilevel"/>
    <w:tmpl w:val="3E74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65D30"/>
    <w:multiLevelType w:val="multilevel"/>
    <w:tmpl w:val="8A14C6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F81"/>
    <w:rsid w:val="00011BBC"/>
    <w:rsid w:val="00034D64"/>
    <w:rsid w:val="00040643"/>
    <w:rsid w:val="00065E35"/>
    <w:rsid w:val="000A3B42"/>
    <w:rsid w:val="00114F81"/>
    <w:rsid w:val="001D3F3A"/>
    <w:rsid w:val="00284E62"/>
    <w:rsid w:val="002F7A4F"/>
    <w:rsid w:val="00304DD2"/>
    <w:rsid w:val="003B22AC"/>
    <w:rsid w:val="003B775E"/>
    <w:rsid w:val="003F2074"/>
    <w:rsid w:val="004325B9"/>
    <w:rsid w:val="0043622B"/>
    <w:rsid w:val="004A2453"/>
    <w:rsid w:val="004E0394"/>
    <w:rsid w:val="005321AF"/>
    <w:rsid w:val="00551A40"/>
    <w:rsid w:val="005544CD"/>
    <w:rsid w:val="005F508B"/>
    <w:rsid w:val="00602EED"/>
    <w:rsid w:val="00665A8D"/>
    <w:rsid w:val="00681354"/>
    <w:rsid w:val="00690CF4"/>
    <w:rsid w:val="006A5E37"/>
    <w:rsid w:val="006A6D90"/>
    <w:rsid w:val="006D7FA8"/>
    <w:rsid w:val="00721AF5"/>
    <w:rsid w:val="00725CAC"/>
    <w:rsid w:val="00730A2D"/>
    <w:rsid w:val="007863B1"/>
    <w:rsid w:val="007A618A"/>
    <w:rsid w:val="008008C1"/>
    <w:rsid w:val="008026F8"/>
    <w:rsid w:val="008723CC"/>
    <w:rsid w:val="00885433"/>
    <w:rsid w:val="008D18B6"/>
    <w:rsid w:val="008E70F5"/>
    <w:rsid w:val="009538F7"/>
    <w:rsid w:val="009669F6"/>
    <w:rsid w:val="00975A9C"/>
    <w:rsid w:val="009C1AA4"/>
    <w:rsid w:val="00A04E3C"/>
    <w:rsid w:val="00A204EE"/>
    <w:rsid w:val="00B34DF1"/>
    <w:rsid w:val="00B51598"/>
    <w:rsid w:val="00B51EA2"/>
    <w:rsid w:val="00B75C8F"/>
    <w:rsid w:val="00B918C5"/>
    <w:rsid w:val="00BD68A5"/>
    <w:rsid w:val="00BE0AF6"/>
    <w:rsid w:val="00C22914"/>
    <w:rsid w:val="00CD3F4E"/>
    <w:rsid w:val="00DF081D"/>
    <w:rsid w:val="00DF2427"/>
    <w:rsid w:val="00DF4246"/>
    <w:rsid w:val="00DF51C7"/>
    <w:rsid w:val="00DF6239"/>
    <w:rsid w:val="00E20C99"/>
    <w:rsid w:val="00E546CF"/>
    <w:rsid w:val="00ED6A45"/>
    <w:rsid w:val="00EE1DEF"/>
    <w:rsid w:val="00EE536C"/>
    <w:rsid w:val="00F43B37"/>
    <w:rsid w:val="00F44504"/>
    <w:rsid w:val="00FB472C"/>
    <w:rsid w:val="00FE35AC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65B26"/>
  <w15:docId w15:val="{B2F3D947-72D7-4E4C-9332-64415D53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/>
    </w:pPr>
  </w:style>
  <w:style w:type="paragraph" w:styleId="Titre1">
    <w:name w:val="heading 1"/>
    <w:basedOn w:val="Titreprincipal"/>
    <w:pPr>
      <w:outlineLvl w:val="0"/>
    </w:pPr>
  </w:style>
  <w:style w:type="paragraph" w:styleId="Titre2">
    <w:name w:val="heading 2"/>
    <w:basedOn w:val="Titreprincipal"/>
    <w:pPr>
      <w:outlineLvl w:val="1"/>
    </w:pPr>
  </w:style>
  <w:style w:type="paragraph" w:styleId="Titre3">
    <w:name w:val="heading 3"/>
    <w:basedOn w:val="Titreprincipal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rsid w:val="0061640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uiPriority w:val="99"/>
    <w:qFormat/>
    <w:rsid w:val="004D7379"/>
  </w:style>
  <w:style w:type="character" w:customStyle="1" w:styleId="PieddepageCar">
    <w:name w:val="Pied de page Car"/>
    <w:basedOn w:val="Policepardfaut"/>
    <w:link w:val="Pieddepage"/>
    <w:uiPriority w:val="99"/>
    <w:qFormat/>
    <w:rsid w:val="004D7379"/>
  </w:style>
  <w:style w:type="character" w:styleId="Marquedecommentaire">
    <w:name w:val="annotation reference"/>
    <w:basedOn w:val="Policepardfaut"/>
    <w:uiPriority w:val="99"/>
    <w:semiHidden/>
    <w:unhideWhenUsed/>
    <w:qFormat/>
    <w:rsid w:val="001F5A0E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1F5A0E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F5A0E"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F5A0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Calibri" w:cs="Calibri"/>
      <w:sz w:val="24"/>
    </w:rPr>
  </w:style>
  <w:style w:type="character" w:customStyle="1" w:styleId="ListLabel4">
    <w:name w:val="ListLabel 4"/>
    <w:qFormat/>
    <w:rPr>
      <w:rFonts w:cs="Calibri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alibri"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1640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Titreprincipal">
    <w:name w:val="Titre principal"/>
    <w:basedOn w:val="Normal"/>
  </w:style>
  <w:style w:type="paragraph" w:styleId="Sansinterligne">
    <w:name w:val="No Spacing"/>
    <w:uiPriority w:val="1"/>
    <w:qFormat/>
    <w:rsid w:val="00687CA1"/>
    <w:pPr>
      <w:suppressAutoHyphens/>
      <w:spacing w:line="240" w:lineRule="auto"/>
    </w:pPr>
  </w:style>
  <w:style w:type="paragraph" w:styleId="En-tte">
    <w:name w:val="header"/>
    <w:basedOn w:val="Normal"/>
    <w:uiPriority w:val="99"/>
    <w:unhideWhenUsed/>
    <w:rsid w:val="004D7379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4D7379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qFormat/>
    <w:rsid w:val="006555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1F5A0E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F5A0E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F5A0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styleId="Rvision">
    <w:name w:val="Revision"/>
    <w:uiPriority w:val="99"/>
    <w:semiHidden/>
    <w:qFormat/>
    <w:rsid w:val="0029531E"/>
    <w:pPr>
      <w:suppressAutoHyphens/>
      <w:spacing w:line="240" w:lineRule="auto"/>
    </w:pPr>
  </w:style>
  <w:style w:type="table" w:styleId="Grilledutableau">
    <w:name w:val="Table Grid"/>
    <w:basedOn w:val="TableauNormal"/>
    <w:uiPriority w:val="39"/>
    <w:rsid w:val="00DF51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D5E5F-9558-4D25-BD0F-0B16BBDD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Flora PIASTRA</dc:creator>
  <cp:lastModifiedBy>MASA</cp:lastModifiedBy>
  <cp:revision>2</cp:revision>
  <dcterms:created xsi:type="dcterms:W3CDTF">2025-07-11T08:21:00Z</dcterms:created>
  <dcterms:modified xsi:type="dcterms:W3CDTF">2025-07-11T08:21:00Z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 l'Agriculture et de l'Alimentation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